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Olofström kommunfullmäktige</w:t>
      </w:r>
    </w:p>
    <w:p>
      <w:pPr>
        <w:pStyle w:val="Heading1"/>
      </w:pPr>
      <w:r>
        <w:t xml:space="preserve">Tryggare skolmiljö utan mobbning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Olofström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Brå-undersökningar visar att 12 % av eleverna i Olofström upplever otrygghet i skolan. Förebyggande arbete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Olofström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kommunövergripande handlingsplan mot mobbning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lågaffektivt bemötande.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årliga trygghetsenkäter i alla 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tillsätta en trygghetssamordnare på kommunnivå.</w:t>
      </w:r>
    </w:p>
    <w:p>
      <w:pPr>
        <w:spacing w:before="360"/>
      </w:pPr>
    </w:p>
    <w:p>
      <w:r>
        <w:t xml:space="preserve">Olofström,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Olofström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2026-07-14T04:48:25.852Z</dcterms:created>
  <dcterms:modified xsi:type="dcterms:W3CDTF">2026-07-14T04:48:25.852Z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